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DE109D"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276B15">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276B15">
                              <w:rPr>
                                <w:rFonts w:ascii="Dubai" w:hAnsi="Dubai" w:cs="Dubai"/>
                                <w:b/>
                                <w:bCs/>
                                <w:color w:val="FFFFFF" w:themeColor="background1"/>
                                <w:sz w:val="56"/>
                                <w:szCs w:val="56"/>
                              </w:rPr>
                              <w:t>3</w:t>
                            </w:r>
                            <w:bookmarkStart w:id="0" w:name="_GoBack"/>
                            <w:bookmarkEnd w:id="0"/>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276B15">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276B15">
                        <w:rPr>
                          <w:rFonts w:ascii="Dubai" w:hAnsi="Dubai" w:cs="Dubai"/>
                          <w:b/>
                          <w:bCs/>
                          <w:color w:val="FFFFFF" w:themeColor="background1"/>
                          <w:sz w:val="56"/>
                          <w:szCs w:val="56"/>
                        </w:rPr>
                        <w:t>3</w:t>
                      </w:r>
                      <w:bookmarkStart w:id="1" w:name="_GoBack"/>
                      <w:bookmarkEnd w:id="1"/>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proofErr w:type="gramStart"/>
      <w:r w:rsidR="00D62440" w:rsidRPr="00D62440">
        <w:rPr>
          <w:rFonts w:ascii="Dubai" w:hAnsi="Dubai" w:cs="Dubai"/>
          <w:sz w:val="24"/>
          <w:szCs w:val="24"/>
        </w:rPr>
        <w:t>businessmen</w:t>
      </w:r>
      <w:proofErr w:type="gramEnd"/>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w:t>
      </w:r>
      <w:proofErr w:type="spellStart"/>
      <w:r w:rsidR="00D70E1A" w:rsidRPr="00D62440">
        <w:rPr>
          <w:rFonts w:ascii="Dubai" w:hAnsi="Dubai" w:cs="Dubai"/>
          <w:sz w:val="24"/>
          <w:szCs w:val="24"/>
          <w:lang w:bidi="ar-AE"/>
        </w:rPr>
        <w:t>storey</w:t>
      </w:r>
      <w:proofErr w:type="spellEnd"/>
      <w:r w:rsidR="00D70E1A" w:rsidRPr="00D62440">
        <w:rPr>
          <w:rFonts w:ascii="Dubai" w:hAnsi="Dubai" w:cs="Dubai"/>
          <w:sz w:val="24"/>
          <w:szCs w:val="24"/>
          <w:lang w:bidi="ar-AE"/>
        </w:rPr>
        <w:t xml:space="preserve">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D64AF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lastRenderedPageBreak/>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D64AF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w:t>
      </w:r>
      <w:proofErr w:type="spellStart"/>
      <w:r w:rsidRPr="00D62440">
        <w:rPr>
          <w:rFonts w:ascii="Dubai" w:hAnsi="Dubai" w:cs="Dubai"/>
          <w:sz w:val="24"/>
          <w:szCs w:val="24"/>
        </w:rPr>
        <w:t>storey</w:t>
      </w:r>
      <w:proofErr w:type="spellEnd"/>
      <w:r w:rsidRPr="00D62440">
        <w:rPr>
          <w:rFonts w:ascii="Dubai" w:hAnsi="Dubai" w:cs="Dubai"/>
          <w:sz w:val="24"/>
          <w:szCs w:val="24"/>
        </w:rPr>
        <w:t xml:space="preserve">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 xml:space="preserve">ing methods </w:t>
      </w:r>
      <w:proofErr w:type="gramStart"/>
      <w:r w:rsidR="008B3895" w:rsidRPr="00D62440">
        <w:rPr>
          <w:rFonts w:ascii="Dubai" w:eastAsia="Simplified Arabic" w:hAnsi="Dubai" w:cs="Dubai"/>
          <w:sz w:val="24"/>
          <w:szCs w:val="24"/>
          <w:lang w:eastAsia="ar-SA" w:bidi="en-US"/>
        </w:rPr>
        <w:t>will be documented</w:t>
      </w:r>
      <w:proofErr w:type="gramEnd"/>
      <w:r w:rsidR="008B3895" w:rsidRPr="00D62440">
        <w:rPr>
          <w:rFonts w:ascii="Dubai" w:eastAsia="Simplified Arabic" w:hAnsi="Dubai" w:cs="Dubai"/>
          <w:sz w:val="24"/>
          <w:szCs w:val="24"/>
          <w:lang w:eastAsia="ar-SA" w:bidi="en-US"/>
        </w:rPr>
        <w:t>.</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3C179B" w:rsidTr="00E340B8">
        <w:trPr>
          <w:trHeight w:hRule="exact" w:val="722"/>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Firstly</w:t>
            </w:r>
            <w:r w:rsidRPr="003C179B">
              <w:rPr>
                <w:rFonts w:ascii="Dubai" w:eastAsia="Times New Roman" w:hAnsi="Dubai" w:cs="Dubai"/>
                <w:b/>
                <w:bCs/>
                <w:sz w:val="16"/>
                <w:szCs w:val="16"/>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Raw materials</w:t>
            </w:r>
          </w:p>
          <w:p w:rsidR="00D64AFF" w:rsidRPr="003C179B" w:rsidRDefault="00D64AFF" w:rsidP="00E340B8">
            <w:pPr>
              <w:rPr>
                <w:rFonts w:ascii="Dubai" w:eastAsia="Times New Roman" w:hAnsi="Dubai" w:cs="Dubai"/>
                <w:b/>
                <w:bCs/>
                <w:sz w:val="16"/>
                <w:szCs w:val="16"/>
                <w:rtl/>
              </w:rPr>
            </w:pPr>
          </w:p>
          <w:p w:rsidR="00D64AFF" w:rsidRPr="003C179B" w:rsidRDefault="00D64AFF" w:rsidP="00E340B8">
            <w:pPr>
              <w:rPr>
                <w:rFonts w:ascii="Dubai" w:eastAsia="Times New Roman" w:hAnsi="Dubai" w:cs="Dubai"/>
                <w:b/>
                <w:bCs/>
                <w:sz w:val="16"/>
                <w:szCs w:val="16"/>
                <w:rtl/>
              </w:rPr>
            </w:pP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activities of 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Wood, products of wood &amp; cork, except 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Veneer sheets and pressed wood-based panels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 used in construction</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Coke and 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Chemicals and chemical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Other chemical products </w:t>
            </w:r>
          </w:p>
        </w:tc>
      </w:tr>
      <w:tr w:rsidR="00D64AFF" w:rsidRPr="003C179B" w:rsidTr="00E340B8">
        <w:trPr>
          <w:trHeight w:hRule="exact" w:val="49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Paints, varnishes and</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similar coatings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and 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39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non-metallic products</w:t>
            </w:r>
          </w:p>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mineral products</w:t>
            </w:r>
          </w:p>
        </w:tc>
      </w:tr>
      <w:tr w:rsidR="00D64AFF" w:rsidRPr="003C179B" w:rsidTr="00E340B8">
        <w:trPr>
          <w:trHeight w:hRule="exact" w:val="425"/>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products</w:t>
            </w:r>
            <w:r w:rsidRPr="003C179B">
              <w:rPr>
                <w:rFonts w:ascii="Dubai" w:eastAsia="Times New Roman" w:hAnsi="Dubai" w:cs="Dubai"/>
                <w:b/>
                <w:bCs/>
                <w:sz w:val="16"/>
                <w:szCs w:val="16"/>
              </w:rPr>
              <w:cr/>
            </w:r>
            <w:r w:rsidRPr="003C179B">
              <w:rPr>
                <w:rFonts w:ascii="Dubai" w:eastAsia="Times New Roman" w:hAnsi="Dubai" w:cs="Dubai"/>
                <w:b/>
                <w:bCs/>
                <w:sz w:val="16"/>
                <w:szCs w:val="16"/>
                <w:rtl/>
              </w:rPr>
              <w:t xml:space="preserve"> </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Pr>
            </w:pPr>
          </w:p>
        </w:tc>
      </w:tr>
      <w:tr w:rsidR="00D64AFF" w:rsidRPr="003C179B" w:rsidTr="00E340B8">
        <w:trPr>
          <w:trHeight w:hRule="exact" w:val="41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non-metallic mineral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Constructional clay products (ceramic)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Cement, lime and plaster (gypsum)</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Manufacture of varieties concrete, cement and plaster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or formed stone, marble, alabaster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non-metallic mineral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Base or basic metals (basic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jc w:val="highKashida"/>
              <w:rPr>
                <w:rFonts w:ascii="Dubai" w:eastAsia="Times New Roman" w:hAnsi="Dubai" w:cs="Dubai"/>
                <w:b/>
                <w:bCs/>
                <w:sz w:val="16"/>
                <w:szCs w:val="16"/>
              </w:rPr>
            </w:pPr>
            <w:r w:rsidRPr="003C179B">
              <w:rPr>
                <w:rFonts w:ascii="Dubai" w:eastAsia="Times New Roman" w:hAnsi="Dubai" w:cs="Dubai"/>
                <w:b/>
                <w:bCs/>
                <w:sz w:val="16"/>
                <w:szCs w:val="16"/>
              </w:rPr>
              <w:t>Fabricated metal products, except machinery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 tanks, reservoirs and steam generators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Tanks, reservoirs and containers of metal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metal products; metalworking service activities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Forging, pressing, stamping and roll-forming of metal; powder metallurgy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Cutlery, hand tools and general hardware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Other fabricated metal products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Computer, electronic and optical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and control tools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navigation and control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equipment</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 apparatus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Wiring, cables, and wiring devices</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Electronic and electric wires and cables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wiring 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 xml:space="preserve">Machinery and equipment </w:t>
            </w:r>
            <w:proofErr w:type="spellStart"/>
            <w:r w:rsidRPr="003C179B">
              <w:rPr>
                <w:rFonts w:ascii="Dubai" w:eastAsia="Times New Roman" w:hAnsi="Dubai" w:cs="Dubai"/>
                <w:b/>
                <w:bCs/>
                <w:sz w:val="16"/>
                <w:szCs w:val="16"/>
              </w:rPr>
              <w:t>n.e.c</w:t>
            </w:r>
            <w:proofErr w:type="spellEnd"/>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pumps, compressors, taps and valves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Lifting and handling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labor and other costs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rental</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EC42C4"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labor </w:t>
            </w:r>
            <w:r w:rsidR="00D64AFF" w:rsidRPr="003C179B">
              <w:rPr>
                <w:rFonts w:ascii="Dubai" w:eastAsia="Times New Roman" w:hAnsi="Dubai" w:cs="Dubai"/>
                <w:b/>
                <w:bCs/>
                <w:sz w:val="16"/>
                <w:szCs w:val="16"/>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D62440" w:rsidRDefault="00D62440" w:rsidP="00D64AFF">
      <w:pPr>
        <w:rPr>
          <w:rFonts w:ascii="Dubai" w:eastAsia="Times New Roman" w:hAnsi="Dubai" w:cs="Dubai"/>
          <w:b/>
          <w:bCs/>
          <w:color w:val="000000"/>
          <w:sz w:val="24"/>
          <w:szCs w:val="24"/>
          <w:lang w:bidi="ar-AE"/>
        </w:rPr>
      </w:pPr>
    </w:p>
    <w:p w:rsidR="00D62440" w:rsidRPr="003C179B" w:rsidRDefault="00D62440" w:rsidP="00D64AFF">
      <w:pPr>
        <w:rPr>
          <w:rFonts w:ascii="Dubai" w:eastAsia="Times New Roman" w:hAnsi="Dubai" w:cs="Dubai"/>
          <w:b/>
          <w:bCs/>
          <w:color w:val="000000"/>
          <w:sz w:val="24"/>
          <w:szCs w:val="24"/>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D70E1A" w:rsidRDefault="00D70E1A" w:rsidP="00D64AFF">
      <w:pPr>
        <w:spacing w:before="240" w:after="240"/>
        <w:jc w:val="both"/>
        <w:rPr>
          <w:rFonts w:ascii="Dubai" w:hAnsi="Dubai" w:cs="Dubai"/>
          <w:b/>
          <w:bCs/>
          <w:color w:val="FF0000"/>
          <w:sz w:val="28"/>
          <w:szCs w:val="28"/>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lastRenderedPageBreak/>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During collecting data from the field, the data collected from the field and sent electronically was audited by the staff and reviewed on the spot after </w:t>
      </w:r>
      <w:proofErr w:type="gramStart"/>
      <w:r w:rsidRPr="005A50FC">
        <w:rPr>
          <w:rFonts w:ascii="Dubai" w:eastAsia="Times New Roman" w:hAnsi="Dubai" w:cs="Dubai"/>
          <w:color w:val="000000"/>
          <w:sz w:val="24"/>
          <w:szCs w:val="24"/>
        </w:rPr>
        <w:t>being entered</w:t>
      </w:r>
      <w:proofErr w:type="gramEnd"/>
      <w:r w:rsidRPr="005A50FC">
        <w:rPr>
          <w:rFonts w:ascii="Dubai" w:eastAsia="Times New Roman" w:hAnsi="Dubai" w:cs="Dubai"/>
          <w:color w:val="000000"/>
          <w:sz w:val="24"/>
          <w:szCs w:val="24"/>
        </w:rPr>
        <w:t xml:space="preserve">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villa, multi-</w:t>
      </w:r>
      <w:proofErr w:type="spellStart"/>
      <w:r w:rsidRPr="005A50FC">
        <w:rPr>
          <w:rFonts w:ascii="Dubai" w:hAnsi="Dubai" w:cs="Dubai"/>
          <w:sz w:val="24"/>
          <w:szCs w:val="24"/>
          <w:lang w:bidi="ar-AE"/>
        </w:rPr>
        <w:t>storey</w:t>
      </w:r>
      <w:proofErr w:type="spellEnd"/>
      <w:r w:rsidRPr="005A50FC">
        <w:rPr>
          <w:rFonts w:ascii="Dubai" w:hAnsi="Dubai" w:cs="Dubai"/>
          <w:sz w:val="24"/>
          <w:szCs w:val="24"/>
          <w:lang w:bidi="ar-AE"/>
        </w:rPr>
        <w:t xml:space="preserve">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bidiVisual/>
        <w:tblW w:w="98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gridCol w:w="2086"/>
      </w:tblGrid>
      <w:tr w:rsidR="00D64AFF" w:rsidRPr="003C179B" w:rsidTr="00246726">
        <w:trPr>
          <w:trHeight w:val="85"/>
        </w:trPr>
        <w:tc>
          <w:tcPr>
            <w:tcW w:w="7714"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Data collection sources:</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 xml:space="preserve">Price index </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t xml:space="preserve">The mathematical equation (developed by Statistician </w:t>
            </w:r>
            <w:proofErr w:type="spellStart"/>
            <w:r w:rsidRPr="00246726">
              <w:rPr>
                <w:rFonts w:ascii="Dubai" w:hAnsi="Dubai" w:cs="Dubai"/>
                <w:sz w:val="20"/>
                <w:szCs w:val="20"/>
                <w:lang w:bidi="en-US"/>
              </w:rPr>
              <w:t>Laspeyres</w:t>
            </w:r>
            <w:proofErr w:type="spellEnd"/>
            <w:r w:rsidRPr="00246726">
              <w:rPr>
                <w:rFonts w:ascii="Dubai" w:hAnsi="Dubai" w:cs="Dubai"/>
                <w:sz w:val="20"/>
                <w:szCs w:val="20"/>
                <w:lang w:bidi="en-US"/>
              </w:rPr>
              <w:t>) which calculates the index by using the price levels weighted by the base quantities (weights).</w:t>
            </w:r>
          </w:p>
        </w:tc>
        <w:tc>
          <w:tcPr>
            <w:tcW w:w="2086" w:type="dxa"/>
          </w:tcPr>
          <w:p w:rsidR="00D64AFF" w:rsidRPr="003C179B" w:rsidRDefault="00D64AFF" w:rsidP="00E340B8">
            <w:pPr>
              <w:jc w:val="lowKashida"/>
              <w:rPr>
                <w:rFonts w:ascii="Dubai" w:hAnsi="Dubai" w:cs="Dubai"/>
                <w:b/>
                <w:bCs/>
                <w:sz w:val="20"/>
                <w:szCs w:val="20"/>
              </w:rPr>
            </w:pPr>
            <w:proofErr w:type="spellStart"/>
            <w:r w:rsidRPr="003C179B">
              <w:rPr>
                <w:rFonts w:ascii="Dubai" w:hAnsi="Dubai" w:cs="Dubai"/>
                <w:b/>
                <w:bCs/>
                <w:sz w:val="20"/>
                <w:szCs w:val="20"/>
                <w:lang w:bidi="en-US"/>
              </w:rPr>
              <w:t>Laspeyres</w:t>
            </w:r>
            <w:proofErr w:type="spellEnd"/>
            <w:r w:rsidRPr="003C179B">
              <w:rPr>
                <w:rFonts w:ascii="Dubai" w:hAnsi="Dubai" w:cs="Dubai"/>
                <w:b/>
                <w:bCs/>
                <w:sz w:val="20"/>
                <w:szCs w:val="20"/>
                <w:lang w:bidi="en-US"/>
              </w:rPr>
              <w:t xml:space="preserve"> Equation</w:t>
            </w:r>
            <w:r w:rsidRPr="003C179B">
              <w:rPr>
                <w:rFonts w:ascii="Dubai" w:hAnsi="Dubai" w:cs="Dubai"/>
                <w:b/>
                <w:bCs/>
                <w:sz w:val="20"/>
                <w:szCs w:val="20"/>
              </w:rPr>
              <w:t>:</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lastRenderedPageBreak/>
              <w:t>Costs of materials and services required to construct buildings.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Construction cost:</w:t>
            </w:r>
          </w:p>
        </w:tc>
      </w:tr>
      <w:tr w:rsidR="00D64AFF" w:rsidRPr="003C179B" w:rsidTr="00246726">
        <w:tc>
          <w:tcPr>
            <w:tcW w:w="7714"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period:</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w:t>
            </w:r>
            <w:proofErr w:type="spellStart"/>
            <w:r w:rsidRPr="00246726">
              <w:rPr>
                <w:rFonts w:ascii="Dubai" w:hAnsi="Dubai" w:cs="Dubai"/>
                <w:sz w:val="20"/>
                <w:szCs w:val="20"/>
              </w:rPr>
              <w:t>Laspeyres</w:t>
            </w:r>
            <w:proofErr w:type="spellEnd"/>
            <w:r w:rsidRPr="00246726">
              <w:rPr>
                <w:rFonts w:ascii="Dubai" w:hAnsi="Dubai" w:cs="Dubai"/>
                <w:sz w:val="20"/>
                <w:szCs w:val="20"/>
              </w:rPr>
              <w:t xml:space="preserve"> equation.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Weights:</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prices:</w:t>
            </w:r>
          </w:p>
        </w:tc>
      </w:tr>
      <w:tr w:rsidR="00D64AFF" w:rsidRPr="003C179B" w:rsidTr="00246726">
        <w:tc>
          <w:tcPr>
            <w:tcW w:w="7714"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Commodities frame:</w:t>
            </w:r>
          </w:p>
        </w:tc>
      </w:tr>
      <w:tr w:rsidR="00D64AFF" w:rsidRPr="003C179B" w:rsidTr="00246726">
        <w:tc>
          <w:tcPr>
            <w:tcW w:w="7714"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w:t>
            </w:r>
            <w:proofErr w:type="spellStart"/>
            <w:r w:rsidRPr="00246726">
              <w:rPr>
                <w:rFonts w:ascii="Dubai" w:hAnsi="Dubai" w:cs="Dubai"/>
                <w:sz w:val="20"/>
                <w:szCs w:val="20"/>
              </w:rPr>
              <w:t>storeys</w:t>
            </w:r>
            <w:proofErr w:type="spellEnd"/>
            <w:r w:rsidRPr="00246726">
              <w:rPr>
                <w:rFonts w:ascii="Dubai" w:hAnsi="Dubai" w:cs="Dubai"/>
                <w:sz w:val="20"/>
                <w:szCs w:val="20"/>
              </w:rPr>
              <w:t xml:space="preserve">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2086" w:type="dxa"/>
          </w:tcPr>
          <w:p w:rsidR="00D64AFF" w:rsidRPr="003C179B" w:rsidRDefault="00D64AFF" w:rsidP="00E340B8">
            <w:pPr>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rPr>
                <w:rFonts w:ascii="Dubai" w:hAnsi="Dubai" w:cs="Dubai"/>
                <w:b/>
                <w:bCs/>
                <w:sz w:val="20"/>
                <w:szCs w:val="20"/>
                <w:rtl/>
              </w:rPr>
            </w:pP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086" w:type="dxa"/>
          </w:tcPr>
          <w:p w:rsidR="00D64AFF" w:rsidRPr="003C179B" w:rsidRDefault="00D64AFF" w:rsidP="00E340B8">
            <w:pPr>
              <w:rPr>
                <w:rFonts w:ascii="Dubai" w:hAnsi="Dubai" w:cs="Dubai"/>
                <w:b/>
                <w:bCs/>
                <w:sz w:val="20"/>
                <w:szCs w:val="20"/>
              </w:rPr>
            </w:pPr>
            <w:r w:rsidRPr="003C179B">
              <w:rPr>
                <w:rFonts w:ascii="Dubai" w:hAnsi="Dubai" w:cs="Dubai"/>
                <w:b/>
                <w:bCs/>
                <w:sz w:val="20"/>
                <w:szCs w:val="20"/>
              </w:rPr>
              <w:t>Multi-</w:t>
            </w:r>
            <w:proofErr w:type="spellStart"/>
            <w:r w:rsidRPr="003C179B">
              <w:rPr>
                <w:rFonts w:ascii="Dubai" w:hAnsi="Dubai" w:cs="Dubai"/>
                <w:b/>
                <w:bCs/>
                <w:sz w:val="20"/>
                <w:szCs w:val="20"/>
              </w:rPr>
              <w:t>storey</w:t>
            </w:r>
            <w:proofErr w:type="spellEnd"/>
            <w:r w:rsidRPr="003C179B">
              <w:rPr>
                <w:rFonts w:ascii="Dubai" w:hAnsi="Dubai" w:cs="Dubai"/>
                <w:b/>
                <w:bCs/>
                <w:sz w:val="20"/>
                <w:szCs w:val="20"/>
              </w:rPr>
              <w:t xml:space="preserve"> building:</w:t>
            </w:r>
          </w:p>
        </w:tc>
      </w:tr>
      <w:tr w:rsidR="00D64AFF" w:rsidRPr="003C179B" w:rsidTr="00246726">
        <w:tc>
          <w:tcPr>
            <w:tcW w:w="7714"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Public establishments:</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Industrial buildings:</w:t>
            </w:r>
          </w:p>
        </w:tc>
      </w:tr>
      <w:tr w:rsidR="00D64AFF" w:rsidRPr="003C179B" w:rsidTr="00246726">
        <w:trPr>
          <w:trHeight w:val="1489"/>
        </w:trPr>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rtl/>
          <w:lang w:bidi="ar-AE"/>
        </w:rPr>
      </w:pPr>
      <w:r w:rsidRPr="005A50FC">
        <w:rPr>
          <w:rFonts w:ascii="Dubai" w:hAnsi="Dubai" w:cs="Dubai"/>
          <w:sz w:val="24"/>
          <w:szCs w:val="24"/>
          <w:lang w:bidi="ar-AE"/>
        </w:rPr>
        <w:t>Following-up the update of internationally accepted methodologies and classifications.</w:t>
      </w:r>
    </w:p>
    <w:p w:rsidR="00082D55" w:rsidRDefault="00082D55" w:rsidP="00EC42C4"/>
    <w:sectPr w:rsidR="00082D55"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09D" w:rsidRDefault="00DE109D" w:rsidP="0093782D">
      <w:pPr>
        <w:spacing w:after="0" w:line="240" w:lineRule="auto"/>
      </w:pPr>
      <w:r>
        <w:separator/>
      </w:r>
    </w:p>
  </w:endnote>
  <w:endnote w:type="continuationSeparator" w:id="0">
    <w:p w:rsidR="00DE109D" w:rsidRDefault="00DE109D"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DA7C2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sidR="00DA7C2E">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8"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DA7C2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w:t>
                    </w:r>
                    <w:r>
                      <w:rPr>
                        <w:rFonts w:ascii="Dubai" w:hAnsi="Dubai" w:cs="Dubai"/>
                        <w:color w:val="000000"/>
                        <w:sz w:val="16"/>
                        <w:szCs w:val="16"/>
                      </w:rPr>
                      <w:t>EN</w:t>
                    </w:r>
                    <w:r w:rsidRPr="00C0781E">
                      <w:rPr>
                        <w:rFonts w:ascii="Dubai" w:hAnsi="Dubai" w:cs="Dubai"/>
                        <w:color w:val="000000"/>
                        <w:sz w:val="16"/>
                        <w:szCs w:val="16"/>
                      </w:rPr>
                      <w:t xml:space="preserve"> v</w:t>
                    </w:r>
                    <w:r w:rsidR="00DA7C2E">
                      <w:rPr>
                        <w:rFonts w:ascii="Dubai" w:hAnsi="Dubai" w:cs="Dubai"/>
                        <w:color w:val="000000"/>
                        <w:sz w:val="16"/>
                        <w:szCs w:val="16"/>
                      </w:rPr>
                      <w:t>2</w:t>
                    </w:r>
                    <w:r w:rsidRPr="00C0781E">
                      <w:rPr>
                        <w:rFonts w:ascii="Dubai" w:hAnsi="Dubai" w:cs="Dubai"/>
                        <w:color w:val="000000"/>
                        <w:sz w:val="16"/>
                        <w:szCs w:val="16"/>
                      </w:rPr>
                      <w:t>.0 20</w:t>
                    </w:r>
                    <w:r>
                      <w:rPr>
                        <w:rFonts w:ascii="Dubai" w:hAnsi="Dubai" w:cs="Dubai"/>
                        <w:color w:val="000000"/>
                        <w:sz w:val="16"/>
                        <w:szCs w:val="16"/>
                      </w:rPr>
                      <w:t>12</w:t>
                    </w:r>
                    <w:r w:rsidRPr="00C0781E">
                      <w:rPr>
                        <w:rFonts w:ascii="Dubai" w:hAnsi="Dubai" w:cs="Dubai"/>
                        <w:color w:val="000000"/>
                        <w:sz w:val="16"/>
                        <w:szCs w:val="16"/>
                      </w:rPr>
                      <w:t xml:space="preserve">-01: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76B15">
      <w:rPr>
        <w:noProof/>
        <w:color w:val="FFFFFF" w:themeColor="background1"/>
      </w:rPr>
      <w:t>2</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09D" w:rsidRDefault="00DE109D" w:rsidP="0093782D">
      <w:pPr>
        <w:spacing w:after="0" w:line="240" w:lineRule="auto"/>
      </w:pPr>
      <w:r>
        <w:separator/>
      </w:r>
    </w:p>
  </w:footnote>
  <w:footnote w:type="continuationSeparator" w:id="0">
    <w:p w:rsidR="00DE109D" w:rsidRDefault="00DE109D"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76B15"/>
    <w:rsid w:val="002C2D87"/>
    <w:rsid w:val="002D1652"/>
    <w:rsid w:val="00370B6F"/>
    <w:rsid w:val="003719C5"/>
    <w:rsid w:val="003A2AEF"/>
    <w:rsid w:val="003A349A"/>
    <w:rsid w:val="003D0964"/>
    <w:rsid w:val="00406F12"/>
    <w:rsid w:val="004B4836"/>
    <w:rsid w:val="00557237"/>
    <w:rsid w:val="005A50FC"/>
    <w:rsid w:val="005B3BF6"/>
    <w:rsid w:val="00646A6D"/>
    <w:rsid w:val="006B7AF1"/>
    <w:rsid w:val="006F0977"/>
    <w:rsid w:val="00787D2C"/>
    <w:rsid w:val="00796B9E"/>
    <w:rsid w:val="007F089D"/>
    <w:rsid w:val="007F2693"/>
    <w:rsid w:val="00810A10"/>
    <w:rsid w:val="0081644D"/>
    <w:rsid w:val="00830503"/>
    <w:rsid w:val="008B3895"/>
    <w:rsid w:val="008C2FB9"/>
    <w:rsid w:val="0093444A"/>
    <w:rsid w:val="0093782D"/>
    <w:rsid w:val="00947858"/>
    <w:rsid w:val="00947AB1"/>
    <w:rsid w:val="009C0BDD"/>
    <w:rsid w:val="009D7A35"/>
    <w:rsid w:val="009F5366"/>
    <w:rsid w:val="00A003DE"/>
    <w:rsid w:val="00A03E31"/>
    <w:rsid w:val="00A10B8B"/>
    <w:rsid w:val="00AA4AAE"/>
    <w:rsid w:val="00AA4FB5"/>
    <w:rsid w:val="00AF13D2"/>
    <w:rsid w:val="00BE4D7A"/>
    <w:rsid w:val="00C63536"/>
    <w:rsid w:val="00C807DE"/>
    <w:rsid w:val="00CC6E54"/>
    <w:rsid w:val="00D62440"/>
    <w:rsid w:val="00D64AFF"/>
    <w:rsid w:val="00D70E1A"/>
    <w:rsid w:val="00DA7C2E"/>
    <w:rsid w:val="00DB53FF"/>
    <w:rsid w:val="00DE109D"/>
    <w:rsid w:val="00E000D3"/>
    <w:rsid w:val="00E15ACE"/>
    <w:rsid w:val="00E75AC5"/>
    <w:rsid w:val="00E75AF8"/>
    <w:rsid w:val="00EC42C4"/>
    <w:rsid w:val="00EE3CC9"/>
    <w:rsid w:val="00F0532D"/>
    <w:rsid w:val="00F24833"/>
    <w:rsid w:val="00F26E1D"/>
    <w:rsid w:val="00F30705"/>
    <w:rsid w:val="00F346F6"/>
    <w:rsid w:val="00FB465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09C73"/>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2013-04-09T20:00:00+00:00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B769-4316-47FF-B548-12103CD159E7}"/>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D53F6C48-E4B7-4974-AC91-CB933817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AbdelHamid AbdulHadi  AbdelAzim</cp:lastModifiedBy>
  <cp:revision>3</cp:revision>
  <cp:lastPrinted>2018-12-26T08:50:00Z</cp:lastPrinted>
  <dcterms:created xsi:type="dcterms:W3CDTF">2019-10-16T06:50:00Z</dcterms:created>
  <dcterms:modified xsi:type="dcterms:W3CDTF">2019-10-16T06:53:00Z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